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B1E8F" w14:textId="3B0A8023" w:rsidR="00AB3D1C" w:rsidRDefault="00AB3D1C" w:rsidP="00AB3D1C">
      <w:pPr>
        <w:jc w:val="center"/>
        <w:rPr>
          <w:rFonts w:ascii="Arial" w:hAnsi="Arial" w:cs="Arial"/>
          <w:b/>
          <w:bCs/>
          <w:sz w:val="24"/>
          <w:szCs w:val="24"/>
        </w:rPr>
      </w:pPr>
      <w:r w:rsidRPr="00AB3D1C">
        <w:rPr>
          <w:rFonts w:ascii="Arial" w:hAnsi="Arial" w:cs="Arial"/>
          <w:b/>
          <w:bCs/>
          <w:sz w:val="24"/>
          <w:szCs w:val="24"/>
        </w:rPr>
        <w:t>C) NOTAS DE GESTION ADMINISTRATIVA</w:t>
      </w:r>
    </w:p>
    <w:p w14:paraId="2D179B16" w14:textId="77777777" w:rsidR="00550349" w:rsidRDefault="00550349" w:rsidP="00550349">
      <w:pPr>
        <w:rPr>
          <w:rFonts w:ascii="Arial" w:hAnsi="Arial" w:cs="Arial"/>
          <w:b/>
          <w:bCs/>
          <w:sz w:val="24"/>
          <w:szCs w:val="24"/>
        </w:rPr>
      </w:pPr>
    </w:p>
    <w:p w14:paraId="1CE29D47" w14:textId="1B9E906E" w:rsidR="00550349" w:rsidRPr="00AB3D1C" w:rsidRDefault="00550349" w:rsidP="00550349">
      <w:pPr>
        <w:rPr>
          <w:rFonts w:ascii="Arial" w:hAnsi="Arial" w:cs="Arial"/>
          <w:b/>
          <w:bCs/>
          <w:sz w:val="24"/>
          <w:szCs w:val="24"/>
        </w:rPr>
      </w:pPr>
      <w:r>
        <w:rPr>
          <w:rFonts w:ascii="Arial" w:hAnsi="Arial" w:cs="Arial"/>
          <w:b/>
          <w:bCs/>
          <w:sz w:val="24"/>
          <w:szCs w:val="24"/>
        </w:rPr>
        <w:t>1.- Introducción</w:t>
      </w:r>
    </w:p>
    <w:p w14:paraId="20BE95CB" w14:textId="2DD02626" w:rsidR="00906580" w:rsidRPr="00065C42" w:rsidRDefault="00065C42" w:rsidP="00065C42">
      <w:pPr>
        <w:jc w:val="both"/>
        <w:rPr>
          <w:rFonts w:ascii="Arial" w:hAnsi="Arial" w:cs="Arial"/>
          <w:sz w:val="24"/>
          <w:szCs w:val="24"/>
        </w:rPr>
      </w:pPr>
      <w:r w:rsidRPr="00065C42">
        <w:rPr>
          <w:rFonts w:ascii="Arial" w:hAnsi="Arial" w:cs="Arial"/>
          <w:sz w:val="24"/>
          <w:szCs w:val="24"/>
        </w:rPr>
        <w:t>En concordancia con lo señalado en el Manual de Contabilidad Gubernamental emitido por el Consejo Nacional de Armonización Contable (CONAC), el objetivo general de los estados financieros que se presentan es este documento, es mostrar información acerca de la situación financiera, los resultados de la gestión, los flujos de efectivo, el ejercicio de la ley de ingresos y del presupuesto de egresos correspondientes al año 2021.</w:t>
      </w:r>
    </w:p>
    <w:p w14:paraId="223AA36F" w14:textId="766832C3" w:rsidR="00065C42" w:rsidRPr="00065C42" w:rsidRDefault="00065C42" w:rsidP="00065C42">
      <w:pPr>
        <w:jc w:val="both"/>
        <w:rPr>
          <w:rFonts w:ascii="Arial" w:hAnsi="Arial" w:cs="Arial"/>
          <w:sz w:val="24"/>
          <w:szCs w:val="24"/>
        </w:rPr>
      </w:pPr>
      <w:r w:rsidRPr="00065C42">
        <w:rPr>
          <w:rFonts w:ascii="Arial" w:hAnsi="Arial" w:cs="Arial"/>
          <w:sz w:val="24"/>
          <w:szCs w:val="24"/>
        </w:rPr>
        <w:t>En este sentido, los estados financieros proveen de información al Congreso y a los ciudadanos, así como a un amplio espectro de usuarios, quienes pueden disponer de la misma en forma confiable y oportuna para tomar decisiones respecto a la asignación de recursos, su administración y control y otros análisis que consideren de utilidad.</w:t>
      </w:r>
    </w:p>
    <w:p w14:paraId="42204CF6" w14:textId="2670E169" w:rsidR="00065C42" w:rsidRPr="00065C42" w:rsidRDefault="00065C42" w:rsidP="00065C42">
      <w:pPr>
        <w:jc w:val="both"/>
        <w:rPr>
          <w:rFonts w:ascii="Arial" w:hAnsi="Arial" w:cs="Arial"/>
          <w:sz w:val="24"/>
          <w:szCs w:val="24"/>
        </w:rPr>
      </w:pPr>
      <w:r w:rsidRPr="00065C42">
        <w:rPr>
          <w:rFonts w:ascii="Arial" w:hAnsi="Arial" w:cs="Arial"/>
          <w:sz w:val="24"/>
          <w:szCs w:val="24"/>
        </w:rPr>
        <w:t>En resumen, los estados financieros constituyen la base financiera para la evaluación del desempeño, la rendición de cuentas, la transparencia y la fiscalización de la cuenta Pública.</w:t>
      </w:r>
    </w:p>
    <w:p w14:paraId="53844772" w14:textId="7DA56DA2" w:rsidR="00065C42" w:rsidRDefault="00065C42" w:rsidP="00065C42">
      <w:pPr>
        <w:jc w:val="both"/>
        <w:rPr>
          <w:rFonts w:ascii="Arial" w:hAnsi="Arial" w:cs="Arial"/>
          <w:sz w:val="24"/>
          <w:szCs w:val="24"/>
        </w:rPr>
      </w:pPr>
      <w:r w:rsidRPr="00065C42">
        <w:rPr>
          <w:rFonts w:ascii="Arial" w:hAnsi="Arial" w:cs="Arial"/>
          <w:sz w:val="24"/>
          <w:szCs w:val="24"/>
        </w:rPr>
        <w:t>Al respecto, el objetivo que se persigue con a redacción de las presentes notas de gestión administrativa consiste en la revelación del contexto y de los aspectos económicos-financieros más relevantes que influyeron en las decisiones del período y que fueron considerados en la elaboración de los estados financieros para la mayor comprensión de los mismos y sus particularidades.</w:t>
      </w:r>
    </w:p>
    <w:p w14:paraId="4E6BED77" w14:textId="1D81D3C3" w:rsidR="00550349" w:rsidRDefault="00550349" w:rsidP="00065C42">
      <w:pPr>
        <w:jc w:val="both"/>
        <w:rPr>
          <w:rFonts w:ascii="Arial" w:hAnsi="Arial" w:cs="Arial"/>
          <w:sz w:val="24"/>
          <w:szCs w:val="24"/>
        </w:rPr>
      </w:pPr>
    </w:p>
    <w:p w14:paraId="6B6D4E34" w14:textId="5B5E0C56" w:rsidR="00550349" w:rsidRDefault="00550349" w:rsidP="00065C42">
      <w:pPr>
        <w:jc w:val="both"/>
        <w:rPr>
          <w:rFonts w:ascii="Arial" w:hAnsi="Arial" w:cs="Arial"/>
          <w:b/>
          <w:bCs/>
          <w:sz w:val="24"/>
          <w:szCs w:val="24"/>
        </w:rPr>
      </w:pPr>
    </w:p>
    <w:p w14:paraId="20531767" w14:textId="09B0756F" w:rsidR="00550349" w:rsidRDefault="00550349" w:rsidP="00065C42">
      <w:pPr>
        <w:jc w:val="both"/>
        <w:rPr>
          <w:rFonts w:ascii="Arial" w:hAnsi="Arial" w:cs="Arial"/>
          <w:sz w:val="24"/>
          <w:szCs w:val="24"/>
        </w:rPr>
      </w:pPr>
      <w:r>
        <w:rPr>
          <w:rFonts w:ascii="Arial" w:hAnsi="Arial" w:cs="Arial"/>
          <w:b/>
          <w:bCs/>
          <w:sz w:val="24"/>
          <w:szCs w:val="24"/>
        </w:rPr>
        <w:t>3.- Autorización e Historia</w:t>
      </w:r>
    </w:p>
    <w:p w14:paraId="5195DFB7" w14:textId="043C4964" w:rsidR="00550349" w:rsidRDefault="00550349" w:rsidP="00065C42">
      <w:pPr>
        <w:jc w:val="both"/>
        <w:rPr>
          <w:rFonts w:ascii="Arial" w:hAnsi="Arial" w:cs="Arial"/>
          <w:sz w:val="24"/>
          <w:szCs w:val="24"/>
        </w:rPr>
      </w:pPr>
      <w:r>
        <w:rPr>
          <w:rFonts w:ascii="Arial" w:hAnsi="Arial" w:cs="Arial"/>
          <w:sz w:val="24"/>
          <w:szCs w:val="24"/>
        </w:rPr>
        <w:t>a) La Auditoría Superior del Estado de durango fue creada el día 26 de noviembre del año 2000.</w:t>
      </w:r>
    </w:p>
    <w:p w14:paraId="17D8399A" w14:textId="5D268C3B" w:rsidR="00484F14" w:rsidRDefault="00484F14" w:rsidP="00065C42">
      <w:pPr>
        <w:jc w:val="both"/>
        <w:rPr>
          <w:rFonts w:ascii="Arial" w:hAnsi="Arial" w:cs="Arial"/>
          <w:sz w:val="24"/>
          <w:szCs w:val="24"/>
        </w:rPr>
      </w:pPr>
    </w:p>
    <w:p w14:paraId="2ADE919F" w14:textId="2EEB7142" w:rsidR="00484F14" w:rsidRDefault="00484F14" w:rsidP="00065C42">
      <w:pPr>
        <w:jc w:val="both"/>
        <w:rPr>
          <w:rFonts w:ascii="Arial" w:hAnsi="Arial" w:cs="Arial"/>
          <w:b/>
          <w:bCs/>
          <w:sz w:val="24"/>
          <w:szCs w:val="24"/>
        </w:rPr>
      </w:pPr>
      <w:r>
        <w:rPr>
          <w:rFonts w:ascii="Arial" w:hAnsi="Arial" w:cs="Arial"/>
          <w:b/>
          <w:bCs/>
          <w:sz w:val="24"/>
          <w:szCs w:val="24"/>
        </w:rPr>
        <w:t>4.- Organización y Objeto Social</w:t>
      </w:r>
    </w:p>
    <w:p w14:paraId="3E2239B1" w14:textId="35E3F68F" w:rsidR="00484F14" w:rsidRDefault="00484F14" w:rsidP="00065C42">
      <w:pPr>
        <w:jc w:val="both"/>
        <w:rPr>
          <w:rFonts w:ascii="Arial" w:hAnsi="Arial" w:cs="Arial"/>
          <w:sz w:val="24"/>
          <w:szCs w:val="24"/>
        </w:rPr>
      </w:pPr>
      <w:r>
        <w:rPr>
          <w:rFonts w:ascii="Arial" w:hAnsi="Arial" w:cs="Arial"/>
          <w:sz w:val="24"/>
          <w:szCs w:val="24"/>
        </w:rPr>
        <w:t>a) La Entidad de Auditoría Superior del Estado es el Órgano Técnico Auxiliar del Congreso del Estado de Durango, encargado de la fiscalización y supervisión de la gestión gubernamental, dotado de personalidad jurídica y patrimonio propio así como de autonomía de gestión en el ejercicio de sus atribuciones que apoya al poder legislativo en el apoyo de sus funciones exclusivas de fiscalización y tiene la competencia que le confiere la Constitución Política del Estado</w:t>
      </w:r>
      <w:r w:rsidR="005B5113">
        <w:rPr>
          <w:rFonts w:ascii="Arial" w:hAnsi="Arial" w:cs="Arial"/>
          <w:sz w:val="24"/>
          <w:szCs w:val="24"/>
        </w:rPr>
        <w:t>, la Ley de Fiscalización del estado y otras disposiciones legales.</w:t>
      </w:r>
    </w:p>
    <w:p w14:paraId="05768D37" w14:textId="41AE716F" w:rsidR="005B5113" w:rsidRDefault="005B5113" w:rsidP="00065C42">
      <w:pPr>
        <w:jc w:val="both"/>
        <w:rPr>
          <w:rFonts w:ascii="Arial" w:hAnsi="Arial" w:cs="Arial"/>
          <w:sz w:val="24"/>
          <w:szCs w:val="24"/>
        </w:rPr>
      </w:pPr>
      <w:r>
        <w:rPr>
          <w:rFonts w:ascii="Arial" w:hAnsi="Arial" w:cs="Arial"/>
          <w:sz w:val="24"/>
          <w:szCs w:val="24"/>
        </w:rPr>
        <w:lastRenderedPageBreak/>
        <w:t>b) Una de sus funciones principales es la de fiscalizar en forma posterior los ingresos y egresos, el manejo, la custodia y la aplicación de fondos y recursos de los poderes del Estado, de los entes públicos estatales y de los municipios, incluyendo los recursos de origen federal.</w:t>
      </w:r>
    </w:p>
    <w:p w14:paraId="5C4284E4" w14:textId="5CF10FEA" w:rsidR="005B5113" w:rsidRDefault="005B5113" w:rsidP="00065C42">
      <w:pPr>
        <w:jc w:val="both"/>
        <w:rPr>
          <w:rFonts w:ascii="Arial" w:hAnsi="Arial" w:cs="Arial"/>
          <w:sz w:val="24"/>
          <w:szCs w:val="24"/>
        </w:rPr>
      </w:pPr>
      <w:r>
        <w:rPr>
          <w:rFonts w:ascii="Arial" w:hAnsi="Arial" w:cs="Arial"/>
          <w:sz w:val="24"/>
          <w:szCs w:val="24"/>
        </w:rPr>
        <w:t>c) La Entidad tiene la facultad de elaborar su proyecto de presupuesto anual y enviarlo</w:t>
      </w:r>
      <w:r w:rsidR="00FF1AE7">
        <w:rPr>
          <w:rFonts w:ascii="Arial" w:hAnsi="Arial" w:cs="Arial"/>
          <w:sz w:val="24"/>
          <w:szCs w:val="24"/>
        </w:rPr>
        <w:t>, adjuntando los anexos necesarios,</w:t>
      </w:r>
      <w:r>
        <w:rPr>
          <w:rFonts w:ascii="Arial" w:hAnsi="Arial" w:cs="Arial"/>
          <w:sz w:val="24"/>
          <w:szCs w:val="24"/>
        </w:rPr>
        <w:t xml:space="preserve"> </w:t>
      </w:r>
      <w:r w:rsidR="00FF1AE7">
        <w:rPr>
          <w:rFonts w:ascii="Arial" w:hAnsi="Arial" w:cs="Arial"/>
          <w:sz w:val="24"/>
          <w:szCs w:val="24"/>
        </w:rPr>
        <w:t>al Congreso del Estado por conducto del Presidente de la Gran Comisión, para su aprobación y trámite correspondiente.</w:t>
      </w:r>
    </w:p>
    <w:p w14:paraId="26FC7886" w14:textId="55E61692" w:rsidR="00FF1AE7" w:rsidRDefault="00FF1AE7" w:rsidP="00065C42">
      <w:pPr>
        <w:jc w:val="both"/>
        <w:rPr>
          <w:rFonts w:ascii="Arial" w:hAnsi="Arial" w:cs="Arial"/>
          <w:sz w:val="24"/>
          <w:szCs w:val="24"/>
        </w:rPr>
      </w:pPr>
      <w:r>
        <w:rPr>
          <w:rFonts w:ascii="Arial" w:hAnsi="Arial" w:cs="Arial"/>
          <w:sz w:val="24"/>
          <w:szCs w:val="24"/>
        </w:rPr>
        <w:t>d) Sus ingresos proceden de recursos de origen público, del ámbito federal, estatal y de los ayuntamientos.</w:t>
      </w:r>
    </w:p>
    <w:p w14:paraId="76FCD1AD" w14:textId="786EA0AB" w:rsidR="00FF1AE7" w:rsidRDefault="00FF1AE7" w:rsidP="00065C42">
      <w:pPr>
        <w:jc w:val="both"/>
        <w:rPr>
          <w:rFonts w:ascii="Arial" w:hAnsi="Arial" w:cs="Arial"/>
          <w:sz w:val="24"/>
          <w:szCs w:val="24"/>
        </w:rPr>
      </w:pPr>
      <w:r>
        <w:rPr>
          <w:rFonts w:ascii="Arial" w:hAnsi="Arial" w:cs="Arial"/>
          <w:sz w:val="24"/>
          <w:szCs w:val="24"/>
        </w:rPr>
        <w:t>e) Dentro de las principales políticas de retención y entero de contribuciones en lo que respecta al rubro de remuneraciones</w:t>
      </w:r>
      <w:r w:rsidR="0007661D">
        <w:rPr>
          <w:rFonts w:ascii="Arial" w:hAnsi="Arial" w:cs="Arial"/>
          <w:sz w:val="24"/>
          <w:szCs w:val="24"/>
        </w:rPr>
        <w:t xml:space="preserve"> al personal, las prestaciones que se perciben son: Compensaciones, Gratificación Anual y Honorarios Asimilados y se retiene de acuerdo a las disposiciones de la Ley del Impuesto sobre la Renta.</w:t>
      </w:r>
    </w:p>
    <w:p w14:paraId="4716C51E" w14:textId="5AD87CCF" w:rsidR="0007661D" w:rsidRDefault="0007661D" w:rsidP="00065C42">
      <w:pPr>
        <w:jc w:val="both"/>
        <w:rPr>
          <w:rFonts w:ascii="Arial" w:hAnsi="Arial" w:cs="Arial"/>
          <w:sz w:val="24"/>
          <w:szCs w:val="24"/>
        </w:rPr>
      </w:pPr>
      <w:r>
        <w:rPr>
          <w:rFonts w:ascii="Arial" w:hAnsi="Arial" w:cs="Arial"/>
          <w:sz w:val="24"/>
          <w:szCs w:val="24"/>
        </w:rPr>
        <w:t>f) Estructura Organizacional Básica:</w:t>
      </w:r>
    </w:p>
    <w:p w14:paraId="3E39051D" w14:textId="77777777" w:rsidR="004F17CD" w:rsidRDefault="004F17CD" w:rsidP="00065C42">
      <w:pPr>
        <w:jc w:val="both"/>
        <w:rPr>
          <w:rFonts w:ascii="Arial" w:hAnsi="Arial" w:cs="Arial"/>
          <w:sz w:val="24"/>
          <w:szCs w:val="24"/>
        </w:rPr>
      </w:pPr>
    </w:p>
    <w:p w14:paraId="001D61DB" w14:textId="77777777" w:rsidR="004F17CD" w:rsidRDefault="005B5113" w:rsidP="00065C42">
      <w:pPr>
        <w:jc w:val="both"/>
        <w:rPr>
          <w:rFonts w:ascii="Arial" w:hAnsi="Arial" w:cs="Arial"/>
          <w:sz w:val="24"/>
          <w:szCs w:val="24"/>
        </w:rPr>
      </w:pPr>
      <w:r>
        <w:rPr>
          <w:rFonts w:ascii="Arial" w:hAnsi="Arial" w:cs="Arial"/>
          <w:sz w:val="24"/>
          <w:szCs w:val="24"/>
        </w:rPr>
        <w:t xml:space="preserve"> </w:t>
      </w:r>
    </w:p>
    <w:p w14:paraId="7FFEAD14" w14:textId="023FB560" w:rsidR="005B5113" w:rsidRDefault="004F17CD" w:rsidP="00065C42">
      <w:pPr>
        <w:jc w:val="both"/>
        <w:rPr>
          <w:rFonts w:ascii="Arial" w:hAnsi="Arial" w:cs="Arial"/>
          <w:sz w:val="24"/>
          <w:szCs w:val="24"/>
        </w:rPr>
      </w:pPr>
      <w:r>
        <w:rPr>
          <w:rFonts w:ascii="Arial" w:hAnsi="Arial" w:cs="Arial"/>
          <w:noProof/>
          <w:sz w:val="24"/>
          <w:szCs w:val="24"/>
          <w:lang w:eastAsia="es-MX"/>
        </w:rPr>
        <w:drawing>
          <wp:inline distT="0" distB="0" distL="0" distR="0" wp14:anchorId="553C4B93" wp14:editId="1F9E89FF">
            <wp:extent cx="5803900" cy="3871595"/>
            <wp:effectExtent l="0" t="0" r="635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803900" cy="3871595"/>
                    </a:xfrm>
                    <a:prstGeom prst="rect">
                      <a:avLst/>
                    </a:prstGeom>
                    <a:noFill/>
                  </pic:spPr>
                </pic:pic>
              </a:graphicData>
            </a:graphic>
          </wp:inline>
        </w:drawing>
      </w:r>
    </w:p>
    <w:p w14:paraId="4D253EC8" w14:textId="77777777" w:rsidR="00180308" w:rsidRDefault="00180308" w:rsidP="00065C42">
      <w:pPr>
        <w:jc w:val="both"/>
        <w:rPr>
          <w:rFonts w:ascii="Arial" w:hAnsi="Arial" w:cs="Arial"/>
          <w:b/>
          <w:bCs/>
          <w:sz w:val="24"/>
          <w:szCs w:val="24"/>
        </w:rPr>
      </w:pPr>
    </w:p>
    <w:p w14:paraId="28E655F3" w14:textId="77777777" w:rsidR="00180308" w:rsidRDefault="00180308" w:rsidP="00065C42">
      <w:pPr>
        <w:jc w:val="both"/>
        <w:rPr>
          <w:rFonts w:ascii="Arial" w:hAnsi="Arial" w:cs="Arial"/>
          <w:b/>
          <w:bCs/>
          <w:sz w:val="24"/>
          <w:szCs w:val="24"/>
        </w:rPr>
      </w:pPr>
    </w:p>
    <w:p w14:paraId="611DDACC" w14:textId="7F3D7A00" w:rsidR="004F17CD" w:rsidRDefault="004F17CD" w:rsidP="00065C42">
      <w:pPr>
        <w:jc w:val="both"/>
        <w:rPr>
          <w:rFonts w:ascii="Arial" w:hAnsi="Arial" w:cs="Arial"/>
          <w:b/>
          <w:bCs/>
          <w:sz w:val="24"/>
          <w:szCs w:val="24"/>
        </w:rPr>
      </w:pPr>
      <w:r>
        <w:rPr>
          <w:rFonts w:ascii="Arial" w:hAnsi="Arial" w:cs="Arial"/>
          <w:b/>
          <w:bCs/>
          <w:sz w:val="24"/>
          <w:szCs w:val="24"/>
        </w:rPr>
        <w:lastRenderedPageBreak/>
        <w:t>5.- Bases de Preparación de los Estados Financieros</w:t>
      </w:r>
    </w:p>
    <w:p w14:paraId="277C1635" w14:textId="77777777" w:rsidR="00180308" w:rsidRDefault="00180308" w:rsidP="00065C42">
      <w:pPr>
        <w:jc w:val="both"/>
        <w:rPr>
          <w:rFonts w:ascii="Arial" w:hAnsi="Arial" w:cs="Arial"/>
          <w:sz w:val="24"/>
          <w:szCs w:val="24"/>
        </w:rPr>
      </w:pPr>
    </w:p>
    <w:p w14:paraId="747E52A6" w14:textId="359AA7CD" w:rsidR="004F17CD" w:rsidRDefault="004F17CD" w:rsidP="00065C42">
      <w:pPr>
        <w:jc w:val="both"/>
        <w:rPr>
          <w:rFonts w:ascii="Arial" w:hAnsi="Arial" w:cs="Arial"/>
          <w:sz w:val="24"/>
          <w:szCs w:val="24"/>
        </w:rPr>
      </w:pPr>
      <w:r>
        <w:rPr>
          <w:rFonts w:ascii="Arial" w:hAnsi="Arial" w:cs="Arial"/>
          <w:sz w:val="24"/>
          <w:szCs w:val="24"/>
        </w:rPr>
        <w:t>Los Estados Financieros que se presentan en este documento han sido preparados con apego a las disposiciones establecidas en la Ley General de Contabilidad Gubernamental y con sujeción a la normatividad y lineamientos emitidos por el Consejo Nacional de Armonización Contable (CONAC). En forma particular se informa que la elaboración de estados contables y presupuestarios se ha realizado en base a las normas y metodología previstas en el apartado de estados financieros del Manual de Contabilidad Gubernamental. Así mismo</w:t>
      </w:r>
      <w:r w:rsidR="0006759E">
        <w:rPr>
          <w:rFonts w:ascii="Arial" w:hAnsi="Arial" w:cs="Arial"/>
          <w:sz w:val="24"/>
          <w:szCs w:val="24"/>
        </w:rPr>
        <w:t xml:space="preserve"> </w:t>
      </w:r>
      <w:r>
        <w:rPr>
          <w:rFonts w:ascii="Arial" w:hAnsi="Arial" w:cs="Arial"/>
          <w:sz w:val="24"/>
          <w:szCs w:val="24"/>
        </w:rPr>
        <w:t>el registro de las operaciones</w:t>
      </w:r>
      <w:r w:rsidR="0006759E">
        <w:rPr>
          <w:rFonts w:ascii="Arial" w:hAnsi="Arial" w:cs="Arial"/>
          <w:sz w:val="24"/>
          <w:szCs w:val="24"/>
        </w:rPr>
        <w:t xml:space="preserve"> y en la emisión de información financiera y presupuestal se da en cumplimiento a los postulados Básicos de Contabilidad Gubernamental, ya que estos proporcionan el sustento técnico para la práctica contable a través de definiciones, explicaciones y razonamientos.</w:t>
      </w:r>
    </w:p>
    <w:p w14:paraId="09242198" w14:textId="4A296796" w:rsidR="0006759E" w:rsidRDefault="0006759E" w:rsidP="00065C42">
      <w:pPr>
        <w:jc w:val="both"/>
        <w:rPr>
          <w:rFonts w:ascii="Arial" w:hAnsi="Arial" w:cs="Arial"/>
          <w:b/>
          <w:bCs/>
          <w:sz w:val="24"/>
          <w:szCs w:val="24"/>
        </w:rPr>
      </w:pPr>
    </w:p>
    <w:p w14:paraId="3177B524" w14:textId="4701579C" w:rsidR="0006759E" w:rsidRDefault="0006759E" w:rsidP="00065C42">
      <w:pPr>
        <w:jc w:val="both"/>
        <w:rPr>
          <w:rFonts w:ascii="Arial" w:hAnsi="Arial" w:cs="Arial"/>
          <w:b/>
          <w:bCs/>
          <w:sz w:val="24"/>
          <w:szCs w:val="24"/>
        </w:rPr>
      </w:pPr>
      <w:r>
        <w:rPr>
          <w:rFonts w:ascii="Arial" w:hAnsi="Arial" w:cs="Arial"/>
          <w:b/>
          <w:bCs/>
          <w:sz w:val="24"/>
          <w:szCs w:val="24"/>
        </w:rPr>
        <w:t>6.- Políticas de Contabilidad Significativas</w:t>
      </w:r>
    </w:p>
    <w:p w14:paraId="198AE2B3" w14:textId="14FFB6B1" w:rsidR="0006759E" w:rsidRDefault="0006759E" w:rsidP="00065C42">
      <w:pPr>
        <w:jc w:val="both"/>
        <w:rPr>
          <w:rFonts w:ascii="Arial" w:hAnsi="Arial" w:cs="Arial"/>
          <w:sz w:val="24"/>
          <w:szCs w:val="24"/>
        </w:rPr>
      </w:pPr>
      <w:r>
        <w:rPr>
          <w:rFonts w:ascii="Arial" w:hAnsi="Arial" w:cs="Arial"/>
          <w:sz w:val="24"/>
          <w:szCs w:val="24"/>
        </w:rPr>
        <w:t>a) Los registros contables se realizan de acuerdo a los lineamientos de la Ley General de Contabilidad Gubernamental y Postulados Básicos de Contabilidad Gubernamental.</w:t>
      </w:r>
    </w:p>
    <w:p w14:paraId="311053BB" w14:textId="64B22DFE" w:rsidR="0006759E" w:rsidRDefault="0006759E" w:rsidP="00065C42">
      <w:pPr>
        <w:jc w:val="both"/>
        <w:rPr>
          <w:rFonts w:ascii="Arial" w:hAnsi="Arial" w:cs="Arial"/>
          <w:sz w:val="24"/>
          <w:szCs w:val="24"/>
        </w:rPr>
      </w:pPr>
      <w:r>
        <w:rPr>
          <w:rFonts w:ascii="Arial" w:hAnsi="Arial" w:cs="Arial"/>
          <w:sz w:val="24"/>
          <w:szCs w:val="24"/>
        </w:rPr>
        <w:t>b) Las cifras se presentan en pesos mexicanos.</w:t>
      </w:r>
    </w:p>
    <w:p w14:paraId="229B6176" w14:textId="70E03BF5" w:rsidR="0006759E" w:rsidRDefault="0006759E" w:rsidP="00065C42">
      <w:pPr>
        <w:jc w:val="both"/>
        <w:rPr>
          <w:rFonts w:ascii="Arial" w:hAnsi="Arial" w:cs="Arial"/>
          <w:sz w:val="24"/>
          <w:szCs w:val="24"/>
        </w:rPr>
      </w:pPr>
    </w:p>
    <w:p w14:paraId="656924B5" w14:textId="409254BD" w:rsidR="00457FAA" w:rsidRDefault="00457FAA" w:rsidP="00065C42">
      <w:pPr>
        <w:jc w:val="both"/>
        <w:rPr>
          <w:rFonts w:ascii="Arial" w:hAnsi="Arial" w:cs="Arial"/>
          <w:b/>
          <w:bCs/>
          <w:sz w:val="24"/>
          <w:szCs w:val="24"/>
        </w:rPr>
      </w:pPr>
      <w:r>
        <w:rPr>
          <w:rFonts w:ascii="Arial" w:hAnsi="Arial" w:cs="Arial"/>
          <w:b/>
          <w:bCs/>
          <w:sz w:val="24"/>
          <w:szCs w:val="24"/>
        </w:rPr>
        <w:t>7.- Posición en Moneda Extranjera y Protección por Riesgo Cambiario</w:t>
      </w:r>
    </w:p>
    <w:p w14:paraId="48C9B691" w14:textId="0E3B66F5" w:rsidR="00457FAA" w:rsidRDefault="00457FAA" w:rsidP="00065C42">
      <w:pPr>
        <w:jc w:val="both"/>
        <w:rPr>
          <w:rFonts w:ascii="Arial" w:hAnsi="Arial" w:cs="Arial"/>
          <w:sz w:val="24"/>
          <w:szCs w:val="24"/>
        </w:rPr>
      </w:pPr>
      <w:r>
        <w:rPr>
          <w:rFonts w:ascii="Arial" w:hAnsi="Arial" w:cs="Arial"/>
          <w:sz w:val="24"/>
          <w:szCs w:val="24"/>
        </w:rPr>
        <w:t>La Entidad no realizó operaciones en moneda extranjera.</w:t>
      </w:r>
    </w:p>
    <w:p w14:paraId="17E98CCA" w14:textId="75CAD54E" w:rsidR="00457FAA" w:rsidRDefault="00457FAA" w:rsidP="00065C42">
      <w:pPr>
        <w:jc w:val="both"/>
        <w:rPr>
          <w:rFonts w:ascii="Arial" w:hAnsi="Arial" w:cs="Arial"/>
          <w:sz w:val="24"/>
          <w:szCs w:val="24"/>
        </w:rPr>
      </w:pPr>
    </w:p>
    <w:p w14:paraId="01660CD2" w14:textId="66936546" w:rsidR="00457FAA" w:rsidRDefault="00457FAA" w:rsidP="00065C42">
      <w:pPr>
        <w:jc w:val="both"/>
        <w:rPr>
          <w:rFonts w:ascii="Arial" w:hAnsi="Arial" w:cs="Arial"/>
          <w:b/>
          <w:bCs/>
          <w:sz w:val="24"/>
          <w:szCs w:val="24"/>
        </w:rPr>
      </w:pPr>
      <w:r>
        <w:rPr>
          <w:rFonts w:ascii="Arial" w:hAnsi="Arial" w:cs="Arial"/>
          <w:b/>
          <w:bCs/>
          <w:sz w:val="24"/>
          <w:szCs w:val="24"/>
        </w:rPr>
        <w:t>8.- Reporte Analítico del Activo</w:t>
      </w:r>
    </w:p>
    <w:p w14:paraId="19D77446" w14:textId="289B24A2" w:rsidR="00457FAA" w:rsidRDefault="0008429B" w:rsidP="00065C42">
      <w:pPr>
        <w:jc w:val="both"/>
        <w:rPr>
          <w:rFonts w:ascii="Arial" w:hAnsi="Arial" w:cs="Arial"/>
          <w:sz w:val="24"/>
          <w:szCs w:val="24"/>
        </w:rPr>
      </w:pPr>
      <w:r>
        <w:rPr>
          <w:rFonts w:ascii="Arial" w:hAnsi="Arial" w:cs="Arial"/>
          <w:sz w:val="24"/>
          <w:szCs w:val="24"/>
        </w:rPr>
        <w:t xml:space="preserve">Durante el </w:t>
      </w:r>
      <w:r w:rsidR="00452C8A">
        <w:rPr>
          <w:rFonts w:ascii="Arial" w:hAnsi="Arial" w:cs="Arial"/>
          <w:sz w:val="24"/>
          <w:szCs w:val="24"/>
        </w:rPr>
        <w:t>primero trimestre del ejercicio</w:t>
      </w:r>
      <w:r>
        <w:rPr>
          <w:rFonts w:ascii="Arial" w:hAnsi="Arial" w:cs="Arial"/>
          <w:sz w:val="24"/>
          <w:szCs w:val="24"/>
        </w:rPr>
        <w:t xml:space="preserve"> 202</w:t>
      </w:r>
      <w:r w:rsidR="00452C8A">
        <w:rPr>
          <w:rFonts w:ascii="Arial" w:hAnsi="Arial" w:cs="Arial"/>
          <w:sz w:val="24"/>
          <w:szCs w:val="24"/>
        </w:rPr>
        <w:t>3</w:t>
      </w:r>
      <w:r w:rsidR="00AC4DA9">
        <w:rPr>
          <w:rFonts w:ascii="Arial" w:hAnsi="Arial" w:cs="Arial"/>
          <w:sz w:val="24"/>
          <w:szCs w:val="24"/>
        </w:rPr>
        <w:t xml:space="preserve"> </w:t>
      </w:r>
      <w:r w:rsidR="00452C8A">
        <w:rPr>
          <w:rFonts w:ascii="Arial" w:hAnsi="Arial" w:cs="Arial"/>
          <w:sz w:val="24"/>
          <w:szCs w:val="24"/>
        </w:rPr>
        <w:t xml:space="preserve">se </w:t>
      </w:r>
      <w:r>
        <w:rPr>
          <w:rFonts w:ascii="Arial" w:hAnsi="Arial" w:cs="Arial"/>
          <w:sz w:val="24"/>
          <w:szCs w:val="24"/>
        </w:rPr>
        <w:t>registraron adquisiciones de Activo Fijo por un monto de: $</w:t>
      </w:r>
      <w:r w:rsidR="00452C8A">
        <w:rPr>
          <w:rFonts w:ascii="Arial" w:hAnsi="Arial" w:cs="Arial"/>
          <w:sz w:val="24"/>
          <w:szCs w:val="24"/>
        </w:rPr>
        <w:t>193,488</w:t>
      </w:r>
      <w:r w:rsidR="00F711DE">
        <w:rPr>
          <w:rFonts w:ascii="Arial" w:hAnsi="Arial" w:cs="Arial"/>
          <w:sz w:val="24"/>
          <w:szCs w:val="24"/>
        </w:rPr>
        <w:t xml:space="preserve">.00 </w:t>
      </w:r>
      <w:r>
        <w:rPr>
          <w:rFonts w:ascii="Arial" w:hAnsi="Arial" w:cs="Arial"/>
          <w:sz w:val="24"/>
          <w:szCs w:val="24"/>
        </w:rPr>
        <w:t>(</w:t>
      </w:r>
      <w:r w:rsidR="00452C8A">
        <w:rPr>
          <w:rFonts w:ascii="Arial" w:hAnsi="Arial" w:cs="Arial"/>
          <w:sz w:val="24"/>
          <w:szCs w:val="24"/>
        </w:rPr>
        <w:t>Ciento Noventa y tres mil Cuatrocientos Ochenta y ocho pesos 00/100 M.N.</w:t>
      </w:r>
      <w:r>
        <w:rPr>
          <w:rFonts w:ascii="Arial" w:hAnsi="Arial" w:cs="Arial"/>
          <w:sz w:val="24"/>
          <w:szCs w:val="24"/>
        </w:rPr>
        <w:t>)</w:t>
      </w:r>
      <w:r w:rsidR="00AC4DA9">
        <w:rPr>
          <w:rFonts w:ascii="Arial" w:hAnsi="Arial" w:cs="Arial"/>
          <w:sz w:val="24"/>
          <w:szCs w:val="24"/>
        </w:rPr>
        <w:t>.</w:t>
      </w:r>
      <w:r w:rsidR="00F711DE">
        <w:rPr>
          <w:rFonts w:ascii="Arial" w:hAnsi="Arial" w:cs="Arial"/>
          <w:sz w:val="24"/>
          <w:szCs w:val="24"/>
        </w:rPr>
        <w:t xml:space="preserve"> Que corresponden</w:t>
      </w:r>
    </w:p>
    <w:p w14:paraId="50C73487" w14:textId="58004825" w:rsidR="0008429B" w:rsidRDefault="0008429B" w:rsidP="00065C42">
      <w:pPr>
        <w:jc w:val="both"/>
        <w:rPr>
          <w:rFonts w:ascii="Arial" w:hAnsi="Arial" w:cs="Arial"/>
          <w:sz w:val="24"/>
          <w:szCs w:val="24"/>
        </w:rPr>
      </w:pPr>
      <w:r>
        <w:rPr>
          <w:rFonts w:ascii="Arial" w:hAnsi="Arial" w:cs="Arial"/>
          <w:sz w:val="24"/>
          <w:szCs w:val="24"/>
        </w:rPr>
        <w:t>Todos los bienes que integran el inventario de la Entidad se encuentran registrados a su valor de adquisición con la aplicación de la depreciación correspondiente.</w:t>
      </w:r>
    </w:p>
    <w:p w14:paraId="1DDC8950" w14:textId="5D67A342" w:rsidR="0008429B" w:rsidRDefault="0008429B" w:rsidP="00065C42">
      <w:pPr>
        <w:jc w:val="both"/>
        <w:rPr>
          <w:rFonts w:ascii="Arial" w:hAnsi="Arial" w:cs="Arial"/>
          <w:sz w:val="24"/>
          <w:szCs w:val="24"/>
        </w:rPr>
      </w:pPr>
    </w:p>
    <w:p w14:paraId="6BEF07EC" w14:textId="31956659" w:rsidR="0008429B" w:rsidRDefault="0008429B" w:rsidP="00065C42">
      <w:pPr>
        <w:jc w:val="both"/>
        <w:rPr>
          <w:rFonts w:ascii="Arial" w:hAnsi="Arial" w:cs="Arial"/>
          <w:b/>
          <w:bCs/>
          <w:sz w:val="24"/>
          <w:szCs w:val="24"/>
        </w:rPr>
      </w:pPr>
      <w:r>
        <w:rPr>
          <w:rFonts w:ascii="Arial" w:hAnsi="Arial" w:cs="Arial"/>
          <w:b/>
          <w:bCs/>
          <w:sz w:val="24"/>
          <w:szCs w:val="24"/>
        </w:rPr>
        <w:t>9.- Fideicomisos, Mandatos y Análogos</w:t>
      </w:r>
    </w:p>
    <w:p w14:paraId="4B843FD2" w14:textId="03245C69" w:rsidR="0008429B" w:rsidRDefault="0008429B" w:rsidP="00065C42">
      <w:pPr>
        <w:jc w:val="both"/>
        <w:rPr>
          <w:rFonts w:ascii="Arial" w:hAnsi="Arial" w:cs="Arial"/>
          <w:sz w:val="24"/>
          <w:szCs w:val="24"/>
        </w:rPr>
      </w:pPr>
      <w:r>
        <w:rPr>
          <w:rFonts w:ascii="Arial" w:hAnsi="Arial" w:cs="Arial"/>
          <w:sz w:val="24"/>
          <w:szCs w:val="24"/>
        </w:rPr>
        <w:t>La Entidad no tuvo registro de Fideicomisos y/o Mandatos.</w:t>
      </w:r>
    </w:p>
    <w:p w14:paraId="24F9CB23" w14:textId="1DF2D0E4" w:rsidR="0008429B" w:rsidRDefault="0008429B" w:rsidP="00065C42">
      <w:pPr>
        <w:jc w:val="both"/>
        <w:rPr>
          <w:rFonts w:ascii="Arial" w:hAnsi="Arial" w:cs="Arial"/>
          <w:sz w:val="24"/>
          <w:szCs w:val="24"/>
        </w:rPr>
      </w:pPr>
    </w:p>
    <w:p w14:paraId="5E6CBB4E" w14:textId="77777777" w:rsidR="00180308" w:rsidRDefault="00180308" w:rsidP="00065C42">
      <w:pPr>
        <w:jc w:val="both"/>
        <w:rPr>
          <w:rFonts w:ascii="Arial" w:hAnsi="Arial" w:cs="Arial"/>
          <w:b/>
          <w:bCs/>
          <w:sz w:val="24"/>
          <w:szCs w:val="24"/>
        </w:rPr>
      </w:pPr>
    </w:p>
    <w:p w14:paraId="074476C6" w14:textId="714ADDEE" w:rsidR="0008429B" w:rsidRDefault="0008429B" w:rsidP="00065C42">
      <w:pPr>
        <w:jc w:val="both"/>
        <w:rPr>
          <w:rFonts w:ascii="Arial" w:hAnsi="Arial" w:cs="Arial"/>
          <w:b/>
          <w:bCs/>
          <w:sz w:val="24"/>
          <w:szCs w:val="24"/>
        </w:rPr>
      </w:pPr>
      <w:r>
        <w:rPr>
          <w:rFonts w:ascii="Arial" w:hAnsi="Arial" w:cs="Arial"/>
          <w:b/>
          <w:bCs/>
          <w:sz w:val="24"/>
          <w:szCs w:val="24"/>
        </w:rPr>
        <w:lastRenderedPageBreak/>
        <w:t>10.- Reporte de la Recaudación</w:t>
      </w:r>
    </w:p>
    <w:p w14:paraId="6030E4E7" w14:textId="696A6550" w:rsidR="00D65D8F" w:rsidRDefault="00452C8A" w:rsidP="00065C42">
      <w:pPr>
        <w:jc w:val="both"/>
        <w:rPr>
          <w:rFonts w:ascii="Arial" w:hAnsi="Arial" w:cs="Arial"/>
          <w:sz w:val="24"/>
          <w:szCs w:val="24"/>
        </w:rPr>
      </w:pPr>
      <w:r>
        <w:rPr>
          <w:rFonts w:ascii="Arial" w:hAnsi="Arial" w:cs="Arial"/>
          <w:sz w:val="24"/>
          <w:szCs w:val="24"/>
        </w:rPr>
        <w:t xml:space="preserve">En </w:t>
      </w:r>
      <w:proofErr w:type="spellStart"/>
      <w:r>
        <w:rPr>
          <w:rFonts w:ascii="Arial" w:hAnsi="Arial" w:cs="Arial"/>
          <w:sz w:val="24"/>
          <w:szCs w:val="24"/>
        </w:rPr>
        <w:t>el</w:t>
      </w:r>
      <w:proofErr w:type="spellEnd"/>
      <w:r>
        <w:rPr>
          <w:rFonts w:ascii="Arial" w:hAnsi="Arial" w:cs="Arial"/>
          <w:sz w:val="24"/>
          <w:szCs w:val="24"/>
        </w:rPr>
        <w:t xml:space="preserve"> ejercicio comprendido </w:t>
      </w:r>
      <w:r w:rsidR="00F711DE">
        <w:rPr>
          <w:rFonts w:ascii="Arial" w:hAnsi="Arial" w:cs="Arial"/>
          <w:sz w:val="24"/>
          <w:szCs w:val="24"/>
        </w:rPr>
        <w:t>del 01 de enero al 31 de marzo de 2023</w:t>
      </w:r>
      <w:r w:rsidR="00D65D8F">
        <w:rPr>
          <w:rFonts w:ascii="Arial" w:hAnsi="Arial" w:cs="Arial"/>
          <w:sz w:val="24"/>
          <w:szCs w:val="24"/>
        </w:rPr>
        <w:t xml:space="preserve"> los Ingresos Totales de conforman de:</w:t>
      </w:r>
    </w:p>
    <w:p w14:paraId="6468856F" w14:textId="72D6F701" w:rsidR="00D65D8F" w:rsidRDefault="00D65D8F" w:rsidP="009A1E04">
      <w:pPr>
        <w:spacing w:after="0"/>
        <w:jc w:val="both"/>
        <w:rPr>
          <w:rFonts w:ascii="Arial" w:hAnsi="Arial" w:cs="Arial"/>
          <w:sz w:val="24"/>
          <w:szCs w:val="24"/>
        </w:rPr>
      </w:pPr>
      <w:r>
        <w:rPr>
          <w:rFonts w:ascii="Arial" w:hAnsi="Arial" w:cs="Arial"/>
          <w:sz w:val="24"/>
          <w:szCs w:val="24"/>
        </w:rPr>
        <w:t>Transferencias                                     $</w:t>
      </w:r>
      <w:r w:rsidR="00F711DE">
        <w:rPr>
          <w:rFonts w:ascii="Arial" w:hAnsi="Arial" w:cs="Arial"/>
          <w:sz w:val="24"/>
          <w:szCs w:val="24"/>
        </w:rPr>
        <w:t>8,836,365.00</w:t>
      </w:r>
    </w:p>
    <w:p w14:paraId="0310E822" w14:textId="4D4FFED2" w:rsidR="00D65D8F" w:rsidRDefault="00D65D8F" w:rsidP="009A1E04">
      <w:pPr>
        <w:spacing w:after="0"/>
        <w:jc w:val="both"/>
        <w:rPr>
          <w:rFonts w:ascii="Arial" w:hAnsi="Arial" w:cs="Arial"/>
          <w:sz w:val="24"/>
          <w:szCs w:val="24"/>
        </w:rPr>
      </w:pPr>
      <w:r>
        <w:rPr>
          <w:rFonts w:ascii="Arial" w:hAnsi="Arial" w:cs="Arial"/>
          <w:sz w:val="24"/>
          <w:szCs w:val="24"/>
        </w:rPr>
        <w:t xml:space="preserve">Otros Ingresos y Beneficios                  </w:t>
      </w:r>
      <w:r w:rsidRPr="009A1E04">
        <w:rPr>
          <w:rFonts w:ascii="Arial" w:hAnsi="Arial" w:cs="Arial"/>
          <w:sz w:val="24"/>
          <w:szCs w:val="24"/>
          <w:u w:val="single"/>
        </w:rPr>
        <w:t xml:space="preserve">   </w:t>
      </w:r>
      <w:r w:rsidR="00F711DE">
        <w:rPr>
          <w:rFonts w:ascii="Arial" w:hAnsi="Arial" w:cs="Arial"/>
          <w:sz w:val="24"/>
          <w:szCs w:val="24"/>
          <w:u w:val="single"/>
        </w:rPr>
        <w:t>279,240.00</w:t>
      </w:r>
    </w:p>
    <w:p w14:paraId="7A10DD4C" w14:textId="073D6BA0" w:rsidR="00D65D8F" w:rsidRDefault="00D65D8F" w:rsidP="009A1E04">
      <w:pPr>
        <w:spacing w:after="0"/>
        <w:jc w:val="both"/>
        <w:rPr>
          <w:rFonts w:ascii="Arial" w:hAnsi="Arial" w:cs="Arial"/>
          <w:sz w:val="24"/>
          <w:szCs w:val="24"/>
        </w:rPr>
      </w:pPr>
      <w:r>
        <w:rPr>
          <w:rFonts w:ascii="Arial" w:hAnsi="Arial" w:cs="Arial"/>
          <w:sz w:val="24"/>
          <w:szCs w:val="24"/>
        </w:rPr>
        <w:t>Total                                                     $</w:t>
      </w:r>
      <w:r w:rsidR="00F711DE">
        <w:rPr>
          <w:rFonts w:ascii="Arial" w:hAnsi="Arial" w:cs="Arial"/>
          <w:sz w:val="24"/>
          <w:szCs w:val="24"/>
        </w:rPr>
        <w:t>9,115,605</w:t>
      </w:r>
      <w:r>
        <w:rPr>
          <w:rFonts w:ascii="Arial" w:hAnsi="Arial" w:cs="Arial"/>
          <w:sz w:val="24"/>
          <w:szCs w:val="24"/>
        </w:rPr>
        <w:t>.00</w:t>
      </w:r>
    </w:p>
    <w:p w14:paraId="33272B0B" w14:textId="00AB0836" w:rsidR="00F2420F" w:rsidRDefault="00F2420F" w:rsidP="00065C42">
      <w:pPr>
        <w:jc w:val="both"/>
        <w:rPr>
          <w:rFonts w:ascii="Arial" w:hAnsi="Arial" w:cs="Arial"/>
          <w:sz w:val="24"/>
          <w:szCs w:val="24"/>
        </w:rPr>
      </w:pPr>
    </w:p>
    <w:p w14:paraId="3C66BBF9" w14:textId="669CAD54" w:rsidR="00F2420F" w:rsidRDefault="00F2420F" w:rsidP="00065C42">
      <w:pPr>
        <w:jc w:val="both"/>
        <w:rPr>
          <w:rFonts w:ascii="Arial" w:hAnsi="Arial" w:cs="Arial"/>
          <w:sz w:val="24"/>
          <w:szCs w:val="24"/>
        </w:rPr>
      </w:pPr>
      <w:r>
        <w:rPr>
          <w:rFonts w:ascii="Arial" w:hAnsi="Arial" w:cs="Arial"/>
          <w:sz w:val="24"/>
          <w:szCs w:val="24"/>
        </w:rPr>
        <w:t>Para el ejercicio 2022 se proyecta obtener Ingresos por:</w:t>
      </w:r>
    </w:p>
    <w:p w14:paraId="23B26155" w14:textId="0D4CD059" w:rsidR="00F2420F" w:rsidRDefault="00F2420F" w:rsidP="00065C42">
      <w:pPr>
        <w:jc w:val="both"/>
        <w:rPr>
          <w:rFonts w:ascii="Arial" w:hAnsi="Arial" w:cs="Arial"/>
          <w:sz w:val="24"/>
          <w:szCs w:val="24"/>
        </w:rPr>
      </w:pPr>
    </w:p>
    <w:p w14:paraId="56E1B156" w14:textId="71926D3B" w:rsidR="00F2420F" w:rsidRDefault="00F2420F" w:rsidP="00065C42">
      <w:pPr>
        <w:jc w:val="both"/>
        <w:rPr>
          <w:rFonts w:ascii="Arial" w:hAnsi="Arial" w:cs="Arial"/>
          <w:sz w:val="24"/>
          <w:szCs w:val="24"/>
        </w:rPr>
      </w:pPr>
      <w:r>
        <w:rPr>
          <w:rFonts w:ascii="Arial" w:hAnsi="Arial" w:cs="Arial"/>
          <w:sz w:val="24"/>
          <w:szCs w:val="24"/>
        </w:rPr>
        <w:t>Transferencias</w:t>
      </w:r>
      <w:r w:rsidR="001D3E7C">
        <w:rPr>
          <w:rFonts w:ascii="Arial" w:hAnsi="Arial" w:cs="Arial"/>
          <w:sz w:val="24"/>
          <w:szCs w:val="24"/>
        </w:rPr>
        <w:t xml:space="preserve">                                     $</w:t>
      </w:r>
      <w:r w:rsidR="00F711DE">
        <w:rPr>
          <w:rFonts w:ascii="Arial" w:hAnsi="Arial" w:cs="Arial"/>
          <w:sz w:val="24"/>
          <w:szCs w:val="24"/>
        </w:rPr>
        <w:t>35,345,437.00</w:t>
      </w:r>
    </w:p>
    <w:p w14:paraId="333D8B0A" w14:textId="5B0BD519" w:rsidR="001D3E7C" w:rsidRDefault="001D3E7C" w:rsidP="00065C42">
      <w:pPr>
        <w:jc w:val="both"/>
        <w:rPr>
          <w:rFonts w:ascii="Arial" w:hAnsi="Arial" w:cs="Arial"/>
          <w:sz w:val="24"/>
          <w:szCs w:val="24"/>
        </w:rPr>
      </w:pPr>
    </w:p>
    <w:p w14:paraId="6FFB1172" w14:textId="38308B1F" w:rsidR="001D3E7C" w:rsidRDefault="001D3E7C" w:rsidP="00065C42">
      <w:pPr>
        <w:jc w:val="both"/>
        <w:rPr>
          <w:rFonts w:ascii="Arial" w:hAnsi="Arial" w:cs="Arial"/>
          <w:b/>
          <w:bCs/>
          <w:sz w:val="24"/>
          <w:szCs w:val="24"/>
        </w:rPr>
      </w:pPr>
      <w:r>
        <w:rPr>
          <w:rFonts w:ascii="Arial" w:hAnsi="Arial" w:cs="Arial"/>
          <w:b/>
          <w:bCs/>
          <w:sz w:val="24"/>
          <w:szCs w:val="24"/>
        </w:rPr>
        <w:t>11.- Información sobre la Deuda y Reporte Analítico de la Deuda</w:t>
      </w:r>
    </w:p>
    <w:p w14:paraId="3955E8F9" w14:textId="17F4AFB1" w:rsidR="001D3E7C" w:rsidRDefault="001D3E7C" w:rsidP="00065C42">
      <w:pPr>
        <w:jc w:val="both"/>
        <w:rPr>
          <w:rFonts w:ascii="Arial" w:hAnsi="Arial" w:cs="Arial"/>
          <w:sz w:val="24"/>
          <w:szCs w:val="24"/>
        </w:rPr>
      </w:pPr>
      <w:r>
        <w:rPr>
          <w:rFonts w:ascii="Arial" w:hAnsi="Arial" w:cs="Arial"/>
          <w:sz w:val="24"/>
          <w:szCs w:val="24"/>
        </w:rPr>
        <w:t>La Entidad no cuenta con créditos bancarios.</w:t>
      </w:r>
    </w:p>
    <w:p w14:paraId="2DF18E06" w14:textId="27C2FBF8" w:rsidR="001D3E7C" w:rsidRDefault="001D3E7C" w:rsidP="00065C42">
      <w:pPr>
        <w:jc w:val="both"/>
        <w:rPr>
          <w:rFonts w:ascii="Arial" w:hAnsi="Arial" w:cs="Arial"/>
          <w:b/>
          <w:bCs/>
          <w:sz w:val="24"/>
          <w:szCs w:val="24"/>
        </w:rPr>
      </w:pPr>
    </w:p>
    <w:p w14:paraId="7E49279D" w14:textId="71EEDF1D" w:rsidR="001D3E7C" w:rsidRDefault="001D3E7C" w:rsidP="00065C42">
      <w:pPr>
        <w:jc w:val="both"/>
        <w:rPr>
          <w:rFonts w:ascii="Arial" w:hAnsi="Arial" w:cs="Arial"/>
          <w:b/>
          <w:bCs/>
          <w:sz w:val="24"/>
          <w:szCs w:val="24"/>
        </w:rPr>
      </w:pPr>
      <w:r>
        <w:rPr>
          <w:rFonts w:ascii="Arial" w:hAnsi="Arial" w:cs="Arial"/>
          <w:b/>
          <w:bCs/>
          <w:sz w:val="24"/>
          <w:szCs w:val="24"/>
        </w:rPr>
        <w:t>12.- Calificaciones Otorgadas</w:t>
      </w:r>
    </w:p>
    <w:p w14:paraId="73F23EF6" w14:textId="20DD3FE4" w:rsidR="007F2736" w:rsidRDefault="007F2736" w:rsidP="00065C42">
      <w:pPr>
        <w:jc w:val="both"/>
        <w:rPr>
          <w:rFonts w:ascii="Arial" w:hAnsi="Arial" w:cs="Arial"/>
          <w:sz w:val="24"/>
          <w:szCs w:val="24"/>
        </w:rPr>
      </w:pPr>
      <w:r>
        <w:rPr>
          <w:rFonts w:ascii="Arial" w:hAnsi="Arial" w:cs="Arial"/>
          <w:sz w:val="24"/>
          <w:szCs w:val="24"/>
        </w:rPr>
        <w:t>La Entidad no realizó transacciones sujetas a calificación crediticia.</w:t>
      </w:r>
    </w:p>
    <w:p w14:paraId="62E8E352" w14:textId="1B65A44C" w:rsidR="007F2736" w:rsidRDefault="007F2736" w:rsidP="00065C42">
      <w:pPr>
        <w:jc w:val="both"/>
        <w:rPr>
          <w:rFonts w:ascii="Arial" w:hAnsi="Arial" w:cs="Arial"/>
          <w:sz w:val="24"/>
          <w:szCs w:val="24"/>
        </w:rPr>
      </w:pPr>
    </w:p>
    <w:p w14:paraId="255CB37B" w14:textId="5814ACFD" w:rsidR="007F2736" w:rsidRDefault="007F2736" w:rsidP="00065C42">
      <w:pPr>
        <w:jc w:val="both"/>
        <w:rPr>
          <w:rFonts w:ascii="Arial" w:hAnsi="Arial" w:cs="Arial"/>
          <w:b/>
          <w:bCs/>
          <w:sz w:val="24"/>
          <w:szCs w:val="24"/>
        </w:rPr>
      </w:pPr>
      <w:r>
        <w:rPr>
          <w:rFonts w:ascii="Arial" w:hAnsi="Arial" w:cs="Arial"/>
          <w:b/>
          <w:bCs/>
          <w:sz w:val="24"/>
          <w:szCs w:val="24"/>
        </w:rPr>
        <w:t>13.- Procesos de Mejora</w:t>
      </w:r>
    </w:p>
    <w:p w14:paraId="2C3D4F30" w14:textId="46A8D373" w:rsidR="007F2736" w:rsidRDefault="007F2736" w:rsidP="00065C42">
      <w:pPr>
        <w:jc w:val="both"/>
        <w:rPr>
          <w:rFonts w:ascii="Arial" w:hAnsi="Arial" w:cs="Arial"/>
          <w:sz w:val="24"/>
          <w:szCs w:val="24"/>
        </w:rPr>
      </w:pPr>
      <w:r>
        <w:rPr>
          <w:rFonts w:ascii="Arial" w:hAnsi="Arial" w:cs="Arial"/>
          <w:sz w:val="24"/>
          <w:szCs w:val="24"/>
        </w:rPr>
        <w:t xml:space="preserve">Se opera en base a las </w:t>
      </w:r>
      <w:r w:rsidRPr="007F2736">
        <w:rPr>
          <w:rFonts w:ascii="Arial" w:hAnsi="Arial" w:cs="Arial"/>
          <w:sz w:val="24"/>
          <w:szCs w:val="24"/>
        </w:rPr>
        <w:t>medidas de austeridad, disciplina, eficiencia y transparencia del gasto público de la administración pública del Estado de Durango</w:t>
      </w:r>
      <w:r>
        <w:rPr>
          <w:rFonts w:ascii="Arial" w:hAnsi="Arial" w:cs="Arial"/>
          <w:sz w:val="24"/>
          <w:szCs w:val="24"/>
        </w:rPr>
        <w:t>.</w:t>
      </w:r>
    </w:p>
    <w:p w14:paraId="55C4B1FA" w14:textId="75EC9D6E" w:rsidR="00605074" w:rsidRDefault="00605074" w:rsidP="00065C42">
      <w:pPr>
        <w:jc w:val="both"/>
        <w:rPr>
          <w:rFonts w:ascii="Arial" w:hAnsi="Arial" w:cs="Arial"/>
          <w:sz w:val="24"/>
          <w:szCs w:val="24"/>
        </w:rPr>
      </w:pPr>
    </w:p>
    <w:p w14:paraId="11608E75" w14:textId="672EA539" w:rsidR="00605074" w:rsidRDefault="00605074" w:rsidP="00065C42">
      <w:pPr>
        <w:jc w:val="both"/>
        <w:rPr>
          <w:rFonts w:ascii="Arial" w:hAnsi="Arial" w:cs="Arial"/>
          <w:b/>
          <w:bCs/>
          <w:sz w:val="24"/>
          <w:szCs w:val="24"/>
        </w:rPr>
      </w:pPr>
      <w:r>
        <w:rPr>
          <w:rFonts w:ascii="Arial" w:hAnsi="Arial" w:cs="Arial"/>
          <w:b/>
          <w:bCs/>
          <w:sz w:val="24"/>
          <w:szCs w:val="24"/>
        </w:rPr>
        <w:t>14.- Información por Segmentos.</w:t>
      </w:r>
    </w:p>
    <w:p w14:paraId="03857638" w14:textId="3214F525" w:rsidR="00605074" w:rsidRDefault="00605074" w:rsidP="00065C42">
      <w:pPr>
        <w:jc w:val="both"/>
        <w:rPr>
          <w:rFonts w:ascii="Arial" w:hAnsi="Arial" w:cs="Arial"/>
          <w:b/>
          <w:bCs/>
          <w:sz w:val="24"/>
          <w:szCs w:val="24"/>
        </w:rPr>
      </w:pPr>
    </w:p>
    <w:p w14:paraId="690D6C1F" w14:textId="72C9AE08" w:rsidR="00605074" w:rsidRDefault="00605074" w:rsidP="00065C42">
      <w:pPr>
        <w:jc w:val="both"/>
        <w:rPr>
          <w:rFonts w:ascii="Arial" w:hAnsi="Arial" w:cs="Arial"/>
          <w:b/>
          <w:bCs/>
          <w:sz w:val="24"/>
          <w:szCs w:val="24"/>
        </w:rPr>
      </w:pPr>
      <w:r>
        <w:rPr>
          <w:rFonts w:ascii="Arial" w:hAnsi="Arial" w:cs="Arial"/>
          <w:b/>
          <w:bCs/>
          <w:sz w:val="24"/>
          <w:szCs w:val="24"/>
        </w:rPr>
        <w:t>15.- Eventos Posteriores al Cierre</w:t>
      </w:r>
    </w:p>
    <w:p w14:paraId="3E266836" w14:textId="257F648B" w:rsidR="00605074" w:rsidRDefault="00605074" w:rsidP="00065C42">
      <w:pPr>
        <w:jc w:val="both"/>
        <w:rPr>
          <w:rFonts w:ascii="Arial" w:hAnsi="Arial" w:cs="Arial"/>
          <w:sz w:val="24"/>
          <w:szCs w:val="24"/>
        </w:rPr>
      </w:pPr>
      <w:r>
        <w:rPr>
          <w:rFonts w:ascii="Arial" w:hAnsi="Arial" w:cs="Arial"/>
          <w:sz w:val="24"/>
          <w:szCs w:val="24"/>
        </w:rPr>
        <w:t>No se conocen eventos posteriores a la fecha del cierre que afecten económicamente a la Entidad.</w:t>
      </w:r>
    </w:p>
    <w:p w14:paraId="2340F0F4" w14:textId="0D688CEC" w:rsidR="00605074" w:rsidRDefault="00605074" w:rsidP="00065C42">
      <w:pPr>
        <w:jc w:val="both"/>
        <w:rPr>
          <w:rFonts w:ascii="Arial" w:hAnsi="Arial" w:cs="Arial"/>
          <w:sz w:val="24"/>
          <w:szCs w:val="24"/>
        </w:rPr>
      </w:pPr>
    </w:p>
    <w:p w14:paraId="7EF2E9C3" w14:textId="4D6B2D71" w:rsidR="00605074" w:rsidRDefault="00605074" w:rsidP="00065C42">
      <w:pPr>
        <w:jc w:val="both"/>
        <w:rPr>
          <w:rFonts w:ascii="Arial" w:hAnsi="Arial" w:cs="Arial"/>
          <w:b/>
          <w:bCs/>
          <w:sz w:val="24"/>
          <w:szCs w:val="24"/>
        </w:rPr>
      </w:pPr>
      <w:r>
        <w:rPr>
          <w:rFonts w:ascii="Arial" w:hAnsi="Arial" w:cs="Arial"/>
          <w:b/>
          <w:bCs/>
          <w:sz w:val="24"/>
          <w:szCs w:val="24"/>
        </w:rPr>
        <w:t>16.- Partes Relacionadas</w:t>
      </w:r>
    </w:p>
    <w:p w14:paraId="79F5B743" w14:textId="07E8A8E0" w:rsidR="00605074" w:rsidRPr="00334DF9" w:rsidRDefault="00605074" w:rsidP="00887FFE">
      <w:pPr>
        <w:pStyle w:val="Texto"/>
        <w:spacing w:after="120" w:line="240" w:lineRule="auto"/>
        <w:ind w:firstLine="0"/>
        <w:rPr>
          <w:szCs w:val="18"/>
        </w:rPr>
      </w:pPr>
      <w:r w:rsidRPr="00887FFE">
        <w:rPr>
          <w:sz w:val="24"/>
          <w:szCs w:val="24"/>
        </w:rPr>
        <w:t>Se establece que no existen partes relacionadas que pudieran ejercer influencia significativa sobre la toma de decisiones financieras y operativas</w:t>
      </w:r>
      <w:r w:rsidRPr="00334DF9">
        <w:rPr>
          <w:szCs w:val="18"/>
        </w:rPr>
        <w:t>.</w:t>
      </w:r>
    </w:p>
    <w:p w14:paraId="0041D4CA" w14:textId="469A8F8D" w:rsidR="00457FAA" w:rsidRPr="00F711DE" w:rsidRDefault="00457FAA" w:rsidP="00065C42">
      <w:pPr>
        <w:jc w:val="both"/>
        <w:rPr>
          <w:rFonts w:ascii="Arial" w:hAnsi="Arial" w:cs="Arial"/>
          <w:sz w:val="24"/>
          <w:szCs w:val="24"/>
        </w:rPr>
      </w:pPr>
    </w:p>
    <w:sectPr w:rsidR="00457FAA" w:rsidRPr="00F711D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C42"/>
    <w:rsid w:val="00065C42"/>
    <w:rsid w:val="0006759E"/>
    <w:rsid w:val="0007661D"/>
    <w:rsid w:val="0008429B"/>
    <w:rsid w:val="00180308"/>
    <w:rsid w:val="001D3E7C"/>
    <w:rsid w:val="003F6E34"/>
    <w:rsid w:val="00452C8A"/>
    <w:rsid w:val="00457FAA"/>
    <w:rsid w:val="004603C2"/>
    <w:rsid w:val="00484F14"/>
    <w:rsid w:val="004F17CD"/>
    <w:rsid w:val="00550349"/>
    <w:rsid w:val="005B5113"/>
    <w:rsid w:val="00605074"/>
    <w:rsid w:val="007F2736"/>
    <w:rsid w:val="00887FFE"/>
    <w:rsid w:val="00906580"/>
    <w:rsid w:val="009A1E04"/>
    <w:rsid w:val="00A85EAD"/>
    <w:rsid w:val="00AB3D1C"/>
    <w:rsid w:val="00AC4DA9"/>
    <w:rsid w:val="00BA0756"/>
    <w:rsid w:val="00D65D8F"/>
    <w:rsid w:val="00F2420F"/>
    <w:rsid w:val="00F711DE"/>
    <w:rsid w:val="00FF1AE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DCC23"/>
  <w15:chartTrackingRefBased/>
  <w15:docId w15:val="{8D6FEF98-64D7-494D-A44A-187AE6EC8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link w:val="TextoCar"/>
    <w:qFormat/>
    <w:rsid w:val="00605074"/>
    <w:pPr>
      <w:spacing w:after="101" w:line="216" w:lineRule="exact"/>
      <w:ind w:firstLine="288"/>
      <w:jc w:val="both"/>
    </w:pPr>
    <w:rPr>
      <w:rFonts w:ascii="Arial" w:eastAsia="Times New Roman" w:hAnsi="Arial" w:cs="Arial"/>
      <w:sz w:val="18"/>
      <w:szCs w:val="20"/>
      <w:lang w:val="es-ES" w:eastAsia="es-ES"/>
    </w:rPr>
  </w:style>
  <w:style w:type="character" w:customStyle="1" w:styleId="TextoCar">
    <w:name w:val="Texto Car"/>
    <w:link w:val="Texto"/>
    <w:locked/>
    <w:rsid w:val="00605074"/>
    <w:rPr>
      <w:rFonts w:ascii="Arial" w:eastAsia="Times New Roman" w:hAnsi="Arial" w:cs="Arial"/>
      <w:sz w:val="18"/>
      <w:szCs w:val="20"/>
      <w:lang w:val="es-ES" w:eastAsia="es-ES"/>
    </w:rPr>
  </w:style>
  <w:style w:type="paragraph" w:styleId="Textodeglobo">
    <w:name w:val="Balloon Text"/>
    <w:basedOn w:val="Normal"/>
    <w:link w:val="TextodegloboCar"/>
    <w:uiPriority w:val="99"/>
    <w:semiHidden/>
    <w:unhideWhenUsed/>
    <w:rsid w:val="0018030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8030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928</Words>
  <Characters>5109</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Margarita Cuellar Tamayo</dc:creator>
  <cp:keywords/>
  <dc:description/>
  <cp:lastModifiedBy>Pedro PSR. Salinas Rojas</cp:lastModifiedBy>
  <cp:revision>2</cp:revision>
  <cp:lastPrinted>2022-02-10T21:26:00Z</cp:lastPrinted>
  <dcterms:created xsi:type="dcterms:W3CDTF">2023-04-28T19:17:00Z</dcterms:created>
  <dcterms:modified xsi:type="dcterms:W3CDTF">2023-04-28T19:17:00Z</dcterms:modified>
</cp:coreProperties>
</file>